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D5" w:rsidRPr="00B928B7" w:rsidRDefault="008C21D5" w:rsidP="008C21D5">
      <w:pPr>
        <w:keepNext/>
        <w:spacing w:after="0" w:line="240" w:lineRule="auto"/>
        <w:outlineLvl w:val="5"/>
        <w:rPr>
          <w:rFonts w:ascii="Times New Roman" w:eastAsia="Times New Roman" w:hAnsi="Times New Roman" w:cs="Arial"/>
          <w:b/>
          <w:sz w:val="28"/>
          <w:szCs w:val="40"/>
          <w:lang w:eastAsia="cs-CZ"/>
        </w:rPr>
      </w:pPr>
      <w:bookmarkStart w:id="0" w:name="_Toc107720557"/>
      <w:r w:rsidRPr="00B928B7">
        <w:rPr>
          <w:rFonts w:ascii="Times New Roman" w:eastAsia="Times New Roman" w:hAnsi="Times New Roman" w:cs="Arial"/>
          <w:b/>
          <w:sz w:val="28"/>
          <w:szCs w:val="40"/>
          <w:lang w:eastAsia="cs-CZ"/>
        </w:rPr>
        <w:t>Přírodopis</w:t>
      </w:r>
    </w:p>
    <w:p w:rsidR="008C21D5" w:rsidRPr="00B928B7" w:rsidRDefault="008C21D5" w:rsidP="008C21D5">
      <w:pPr>
        <w:spacing w:before="120" w:after="6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cs-CZ"/>
        </w:rPr>
      </w:pPr>
    </w:p>
    <w:p w:rsidR="008C21D5" w:rsidRPr="00B928B7" w:rsidRDefault="008C21D5" w:rsidP="008C21D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Obsahové, časové a organizační vymezení vyučovacího předmětu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 xml:space="preserve">Vyučovací předmět Přírodopis na 2. stupni navazuje svým vzdělávacím obsahem na předmět Přírodověda na 1. stupni. V 6., 7. a 8. ročníku jsou vyučovány 2 hodiny týdně a v 9. ročníku je vyučována 1 hodina týdně v učebně přírodopisu, popř. v učebně chemie s interaktivní tabulí.  Žáci zůstávají během vyučování jako celá třída. </w:t>
      </w: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cs-CZ"/>
        </w:rPr>
      </w:pP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8"/>
          <w:lang w:eastAsia="cs-CZ"/>
        </w:rPr>
        <w:t>Charakteristika předmětu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>Dostávají příležitost poznávat přírodu jako systém a s využitím mezipředmětových vztahů (fyzika, chemie, zeměpis), jsou vedeni k porozumění zák</w:t>
      </w:r>
      <w:bookmarkStart w:id="1" w:name="_GoBack"/>
      <w:bookmarkEnd w:id="1"/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>onitostí přírodních jevů. Osvojují si vědomosti a dovednosti o přírodě, učí se pracovat s přírodním materiálem, na jejichž základě si vytvářejí a ověřují hypotézy. Je podporována otevřenost myšlení. V přírodopise se uplatňují průřezová témata, zejména environmentální výchova, osobnostní a sociální výchova a výchova k myšlení v evropských a globálních souvislostech.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>Z metod a forem práce se využívá práce ve dvojicích nebo ve skupinách, využívá se také učení na základě laboratorních úkolů. Důraz je kladen na zvládnutí orientace z různých informačních zdrojů. Pro upevnění vědomostí, dovedností a rozvíjení navazujícího poznání jsou zařazovány přírodovědná cvičení, exkurze, olympiády, soutěže a projektové dny.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>Z hlediska hodnocení žáka je snaha o objektivní sebehodnocení, schopnost pracovat individuálně i ve skupinách, umět obhajovat vlastní názor i naslouchat druhým, řešit problémové úlohy a spolupracovat s ostatními. Součástí jsou i testy a ústní projev.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 xml:space="preserve">Přírodopis je koncipován tak, aby podal přehled o složitostech vývoje Země a života na ní, 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>o vývojově podmíněném přizpůsobování organismů vnějším podmínkám, postupném tvoření společenstev a ekosystémů v různých geologických obdobích i neustálém systémovém spojení živé a neživé přírody zejména ve spojení se znalostmi z ostatních přírodovědných oborů (fyzika, chemie). V tomto kontextu se ukazuje také i postavení člověka a jeho vztah k přírodě i okolnímu životnímu prostředí. Uplatní se průřezová témata: EV, OSV, EGS.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b/>
          <w:bCs/>
          <w:snapToGrid w:val="0"/>
          <w:sz w:val="24"/>
          <w:szCs w:val="24"/>
          <w:lang w:eastAsia="cs-CZ"/>
        </w:rPr>
        <w:t>Obsahové vymezení:</w:t>
      </w:r>
    </w:p>
    <w:p w:rsidR="008C21D5" w:rsidRPr="008C21D5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highlight w:val="yellow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ab/>
      </w:r>
      <w:r w:rsidRPr="008C21D5">
        <w:rPr>
          <w:rFonts w:ascii="Times New Roman" w:eastAsia="Times New Roman" w:hAnsi="Times New Roman" w:cs="Arial"/>
          <w:snapToGrid w:val="0"/>
          <w:sz w:val="24"/>
          <w:szCs w:val="24"/>
          <w:highlight w:val="yellow"/>
          <w:lang w:eastAsia="cs-CZ"/>
        </w:rPr>
        <w:t>6. ročník – bezobratlí, nižší rostliny</w:t>
      </w:r>
    </w:p>
    <w:p w:rsidR="008C21D5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8C21D5">
        <w:rPr>
          <w:rFonts w:ascii="Times New Roman" w:eastAsia="Times New Roman" w:hAnsi="Times New Roman" w:cs="Arial"/>
          <w:snapToGrid w:val="0"/>
          <w:sz w:val="24"/>
          <w:szCs w:val="24"/>
          <w:highlight w:val="yellow"/>
          <w:lang w:eastAsia="cs-CZ"/>
        </w:rPr>
        <w:tab/>
        <w:t>7. ročník – obratlovci, vyšší rostliny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  <w:tab/>
        <w:t>8. ročník – biologie člověka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  <w:t>9. ročník – geologie, paleontologie, ekologie</w:t>
      </w: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color w:val="0000FF"/>
          <w:sz w:val="52"/>
          <w:szCs w:val="20"/>
          <w:lang w:eastAsia="cs-CZ"/>
        </w:rPr>
      </w:pPr>
    </w:p>
    <w:p w:rsidR="008C21D5" w:rsidRPr="00B928B7" w:rsidRDefault="008C21D5" w:rsidP="008C21D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b/>
          <w:sz w:val="24"/>
          <w:szCs w:val="24"/>
          <w:lang w:eastAsia="cs-CZ"/>
        </w:rPr>
        <w:t>Klíčové kompetence</w:t>
      </w:r>
    </w:p>
    <w:p w:rsidR="008C21D5" w:rsidRPr="00B928B7" w:rsidRDefault="008C21D5" w:rsidP="008C21D5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t>Kompetence k učení</w:t>
      </w:r>
      <w:bookmarkEnd w:id="0"/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Osvojit si obecně užívané termíny, symboly a znaky všech zahrnutých oborů, v týmu i samostatně experimentovat a porovnávat dosažené výsledky.</w:t>
      </w: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color w:val="0000FF"/>
          <w:sz w:val="24"/>
          <w:szCs w:val="20"/>
          <w:lang w:eastAsia="cs-CZ"/>
        </w:rPr>
      </w:pPr>
      <w:bookmarkStart w:id="2" w:name="_Toc107720560"/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color w:val="0000FF"/>
          <w:sz w:val="24"/>
          <w:szCs w:val="20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t>Kompetence sociální a personální</w:t>
      </w:r>
      <w:bookmarkEnd w:id="2"/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Samostatným řešením přiměřeně náročných úkolů dosahovat pocitu sebeuspokojení a sebeúcty.</w:t>
      </w:r>
    </w:p>
    <w:p w:rsidR="008C21D5" w:rsidRPr="00B928B7" w:rsidRDefault="008C21D5" w:rsidP="008C21D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8"/>
          <w:lang w:eastAsia="cs-CZ"/>
        </w:rPr>
      </w:pPr>
      <w:bookmarkStart w:id="3" w:name="_Toc107720561"/>
    </w:p>
    <w:p w:rsidR="008C21D5" w:rsidRPr="00B928B7" w:rsidRDefault="008C21D5" w:rsidP="008C21D5">
      <w:pPr>
        <w:spacing w:after="6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br w:type="page"/>
      </w: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lastRenderedPageBreak/>
        <w:t>Kompetence občanské</w:t>
      </w:r>
      <w:bookmarkEnd w:id="3"/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 xml:space="preserve">Uvědomovat si své školní povinnosti a souvislost se zodpovědností za svou domácí přípravu, 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chápat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ákladní ekologické souvislosti </w:t>
      </w: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 xml:space="preserve">a environmentální problémy a pohlížet na ně komplexně,  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 xml:space="preserve">pochopit výhody dodržování pravidel zdravého životního stylu. 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52"/>
          <w:szCs w:val="28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t>Kompetence k řešení problémů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Samostatně řešit problémy, volit vhodné způsoby řešení,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vyhledávat informace vhodné k řešení problému,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prakticky ověřit správnost řešení problému a sledovat svůj vlastní pokrok při jejich zdolávání.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52"/>
          <w:szCs w:val="28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t>Kompetence komunikativní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Výstižně a souvisle formulovat a vyjadřovat své myšlenky a názory v ústním i písemném projevu,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účinně se zapojovat do diskuze, vhodně obhajovat svůj vlastní názor a argumentovat.</w:t>
      </w:r>
    </w:p>
    <w:p w:rsidR="008C21D5" w:rsidRPr="00B928B7" w:rsidRDefault="008C21D5" w:rsidP="008C21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6"/>
          <w:lang w:eastAsia="cs-CZ"/>
        </w:rPr>
      </w:pPr>
      <w:r w:rsidRPr="00B928B7">
        <w:rPr>
          <w:rFonts w:ascii="Times New Roman" w:eastAsia="Times New Roman" w:hAnsi="Times New Roman"/>
          <w:b/>
          <w:bCs/>
          <w:sz w:val="24"/>
          <w:szCs w:val="26"/>
          <w:lang w:eastAsia="cs-CZ"/>
        </w:rPr>
        <w:t>Kompetence pracovní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Používat bezpečně a účinně nástroje, materiály a vybavení např. laboratorní práce, pokusy,</w:t>
      </w:r>
    </w:p>
    <w:p w:rsidR="008C21D5" w:rsidRPr="00B928B7" w:rsidRDefault="008C21D5" w:rsidP="008C21D5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28B7">
        <w:rPr>
          <w:rFonts w:ascii="Times New Roman" w:eastAsia="Times New Roman" w:hAnsi="Times New Roman"/>
          <w:sz w:val="24"/>
          <w:szCs w:val="24"/>
          <w:lang w:eastAsia="cs-CZ"/>
        </w:rPr>
        <w:t>využívat znalosti a zkušenosti pro svou přípravu na budoucnost (další vzdělávání, profese).</w:t>
      </w: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52"/>
          <w:szCs w:val="28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4"/>
          <w:lang w:eastAsia="cs-CZ"/>
        </w:rPr>
      </w:pPr>
    </w:p>
    <w:p w:rsidR="008C21D5" w:rsidRPr="00B928B7" w:rsidRDefault="008C21D5" w:rsidP="008C21D5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cs-CZ"/>
        </w:rPr>
      </w:pPr>
      <w:r w:rsidRPr="00B928B7">
        <w:rPr>
          <w:rFonts w:ascii="Times New Roman" w:eastAsia="Times New Roman" w:hAnsi="Times New Roman"/>
          <w:bCs/>
          <w:szCs w:val="20"/>
          <w:lang w:eastAsia="cs-CZ"/>
        </w:rPr>
        <w:br w:type="page"/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060"/>
        <w:gridCol w:w="2160"/>
        <w:gridCol w:w="1620"/>
      </w:tblGrid>
      <w:tr w:rsidR="008C21D5" w:rsidRPr="00EF6F40" w:rsidTr="003C6407">
        <w:trPr>
          <w:cantSplit/>
          <w:trHeight w:val="567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8C21D5" w:rsidRPr="00B928B7" w:rsidRDefault="008C21D5" w:rsidP="003C64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Přírodopis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</w:p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 xml:space="preserve">II. stupeň </w:t>
            </w:r>
          </w:p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</w:p>
        </w:tc>
      </w:tr>
      <w:tr w:rsidR="008C21D5" w:rsidRPr="00EF6F40" w:rsidTr="003C6407">
        <w:trPr>
          <w:cantSplit/>
          <w:trHeight w:val="567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>Očekávané výstupy</w:t>
            </w:r>
          </w:p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>Žák: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>Učivo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>Průřezová témata, mezipředmětové vztahy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bCs/>
                <w:sz w:val="24"/>
                <w:szCs w:val="20"/>
                <w:lang w:eastAsia="cs-CZ"/>
              </w:rPr>
              <w:t>Ročník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Rozliší základní projevy a podmínky života, orientuje se v daném přehledu vývoje organismu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význam a zásady třídění organismů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Popíše základní rozdíly mezi buňkou rostlin a živočichů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struktura rostlinné a živočišné buňky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vyhledávání společných a odlišných znaků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Rozpozná, porovná a objasní funkci základních orgánů (orgánových soustav) rostlin i živočichů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orgánové soustavy rostlin a živočichů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 - 7.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Třídí organismy a zařadí vybrané organismy do říší a nižších taxonomických jednotek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práce s atlasy rostlin a živočichů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přehled základního dělení rostlin a živočichů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význam a zásady třídění organizmů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 – 7.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Vysvětlí podstatu pohlavního a nepohlavního rozmnožování a jeho význam z hlediska dědičnosti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pohlavní soustava rostlin a živočichů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Uvede příklady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 dědičnosti v praktickém životě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 xml:space="preserve"> a příklady vlivu prostředí na utváření organismů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vliv prostředí na utváření organizmu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 xml:space="preserve">Uvede 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na příkladech z běžného života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význam virů a bakterií v přírodě i pro člověka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výskyt význam a praktické využití virů a bakterií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Rozpozná naše nejznámější jedlé a jedovaté houby s plodnicemi a porovná je podle charakteristických znaků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práce s atlasem hub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rozdělení hub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 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Vysvětlí různé způsoby výživy hub a jejich význam v ekosystémech a místo v potravních řetězcích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základní členění z hlediska výživy hub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první pomoc při otravě houbami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OSV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bjasní funkci dvou organismů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ve stélce lišejníků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lišejníky, stavba, symbióza, výskyt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Odvodí na základě pozorování uspořádání rostlinného těla od buňky přes pletiva až k jednotlivým orgánům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uspořádání stavby rostlinného těla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Porovná vnější a vnitřní stavbu jednotlivých orgánů a uvede praktické příklady jejich funkcí a vztahů v rostlině jako celku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význam jednotlivých částí těla rostlin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lastRenderedPageBreak/>
              <w:t>Vysvětlí princip základních rostlinných fyziologických procesů a jejich využití při pěstování rostlin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základní principy fotosyntézy, dýchání a růst rostlin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6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Odvodí na základě pozorování přírody závislost a přizpůsobení některých rostlin podmínkám prostředí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adaptace rostlin, vliv prostředí na utváření organizmů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Porovná základní vnější a vnitřní stavbu vybraných živočichů a vysvětlí funkci jednotlivých orgánů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stavba těla, funkce jednotlivých částí těla živočichů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 - 7.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Rozlišuje a porovná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jednotlivé skupiny živočichů, určuje vybrané živočichy, zařazuje je do hlavních taxonomických skupin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poznávání a zařazování zástupců běžných druhů jednotlivých tříd živočichů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 – 7.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Odvodí na základě pozorování základní projevy chování živočichů v přírodě, na příkladech objasní jejich způsob života a přizpůsobení danému prostředí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adaptace živočichů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vliv prostředí na utváření organizmů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EGS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Zhodnotí význam živočichů v přírodě i pro člověka uplatňuje zásady bezpečného chování ve styku se živočichy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projevy chování živočichů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péče o vybrané živočichy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chov domestikovaných živočichů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zásady bezpečného chování člověka vůči živočichům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EGS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B00104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Cs w:val="24"/>
                <w:lang w:eastAsia="cs-CZ"/>
              </w:rPr>
              <w:t>7</w:t>
            </w:r>
            <w:r w:rsidR="008C21D5" w:rsidRPr="00B928B7">
              <w:rPr>
                <w:rFonts w:ascii="Times New Roman" w:eastAsia="Times New Roman" w:hAnsi="Times New Roman"/>
                <w:szCs w:val="24"/>
                <w:lang w:eastAsia="cs-CZ"/>
              </w:rPr>
              <w:t>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Aplikuje první pomoc při poranění a jiném poškození těla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zásady poskytování první pomoci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OSV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Aplikuje praktické metody poznávání přírody</w:t>
            </w:r>
          </w:p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Dodržuje základní pravidla bezpečnosti práce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pozorování přírody, práce s určovacími klíči a atlasy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6. - 7.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Rozliší základní projevy a podmínky života, orientuje se v daném přehledu vývoje organismů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adaptace organizmů na změny prostředí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 xml:space="preserve">Uvede příklady 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dědičnosti v praktickém životě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a příklady vlivu prostředí na utváření organismů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dědičnost a základy genetiky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 xml:space="preserve">Uvede 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na příkladech z běžného života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význam virů a bakterií v přírodě i pro člověka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virová infekce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šíření virů a bakterií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OSV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Určí polohu a objasní stavbu a funkci orgánů a orgánových soustav lidského těla, vysvětlí jejich vztahy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anatomie a fyziologie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orgány a orgánové soustavy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lastRenderedPageBreak/>
              <w:t>Orientuje se v základních vývojových stupních fylogeneze člověka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seznámení se základními vývojovými stupni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10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Objasní vznik a vývin nového jedince od početí až do stáří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rozmnožování člověka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 xml:space="preserve">vývoj prenatální a </w:t>
            </w:r>
            <w:proofErr w:type="spellStart"/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postprenatální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OSV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Rozlišuje příčiny, případně příznaky běžných nemocí a uplatňuje zásady jejich prevence a léčby, objasní význam zdravého způsobu života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nemoci, úrazy a prevence – příčiny, příznaky, praktické zásady a postupy při léčení běžných nemocí; závažná poranění a život ohrožující stavy, epidemie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životní styl – pozitivní a negativní dopad prostředí a životního stylu na zdraví člověka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OSV</w:t>
            </w:r>
          </w:p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Rozpozná podle charakteristických vlastností vybrané nerosty a horniny s použitím určovacích pomůcek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druhy určovacích pomůcek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práce s atlasem nerostů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třídění hornin a nerostů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Rozlišuje důsledky vnitřních a vnějších geologických dějů, včetně geologického oběhu hornin i oběhu vody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vnější a vnitřní geologické procesy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Rozlišuje jednotlivá geologická období podle charakteristických znaků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geologický vývoj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vznik hor a pohoří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Uvede příklady výskytu</w:t>
            </w:r>
            <w:r>
              <w:rPr>
                <w:rFonts w:ascii="Times New Roman" w:eastAsia="Times New Roman" w:hAnsi="Times New Roman"/>
                <w:szCs w:val="24"/>
                <w:lang w:eastAsia="cs-CZ"/>
              </w:rPr>
              <w:t xml:space="preserve"> organismů v určitém prostředí </w:t>
            </w: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a vztahy mezi nimi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symbióza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Rozlišuje a uvede příklady systémů organismů - populace, společenstva, ekosystémy a objasní na základě příkladu základní princip existence živých a neživých složek ekosystému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vzájemné vztahy mezi organizmy a prostředím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Vysvětlí podstatu jednoduchých potravních řetězců v různých ekosystémech a zhodnotí jejich význam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potravní řetězec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ekosystém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EV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9.</w:t>
            </w:r>
          </w:p>
        </w:tc>
      </w:tr>
      <w:tr w:rsidR="008C21D5" w:rsidRPr="00EF6F40" w:rsidTr="003C6407">
        <w:trPr>
          <w:cantSplit/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lastRenderedPageBreak/>
              <w:t>Uvede význam vlivu podnebí a počasí na rozvoj různých ekosystémů a charakterizuje mimořádné události způsobené výkyvy počasí a dalšími přírodními jevy, jejich doprovodné jevy a možné dopady i ochranu před nimi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podnebí a počasí ve vztahu k životu – význam vody a teploty prostředí pro život, ochrana a využití přírodních zdrojů, význam jednotlivých vrstev ovzduší pro život, vlivy znečištěného ovzduší a klimatických změn na živé organismy a na člověka</w:t>
            </w:r>
          </w:p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mimořádné události způsobené přírodními vlivy – příčiny vzniku mimořádných událostí, přírodní světové katastrofy, nejčastější mimořádné přírodní události v ČR (povodně, větrné bouře, sněhové kalamity, laviny, náledí) a ochrana před nimi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</w:tr>
      <w:tr w:rsidR="008C21D5" w:rsidRPr="00EF6F40" w:rsidTr="003C6407">
        <w:trPr>
          <w:cantSplit/>
          <w:trHeight w:val="1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Aplikuje praktické metody poznávání přírody</w:t>
            </w:r>
          </w:p>
          <w:p w:rsidR="008C21D5" w:rsidRPr="00B928B7" w:rsidRDefault="008C21D5" w:rsidP="003C640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Dodržuje základní pravidla bezpečnosti práce a chování při poznávání živé a neživé přírody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ind w:left="349" w:hanging="360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pozorování přírody, práce s určovacími klíči a atlasy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1D5" w:rsidRPr="00B928B7" w:rsidRDefault="008C21D5" w:rsidP="003C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B928B7">
              <w:rPr>
                <w:rFonts w:ascii="Times New Roman" w:eastAsia="Times New Roman" w:hAnsi="Times New Roman"/>
                <w:szCs w:val="24"/>
                <w:lang w:eastAsia="cs-CZ"/>
              </w:rPr>
              <w:t>8. - 9.</w:t>
            </w:r>
          </w:p>
        </w:tc>
      </w:tr>
    </w:tbl>
    <w:p w:rsidR="00707F7B" w:rsidRDefault="00707F7B" w:rsidP="008C21D5"/>
    <w:sectPr w:rsidR="0070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47D"/>
    <w:multiLevelType w:val="hybridMultilevel"/>
    <w:tmpl w:val="05F4E12C"/>
    <w:lvl w:ilvl="0" w:tplc="8DD6B5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70A76A">
      <w:start w:val="1"/>
      <w:numFmt w:val="bullet"/>
      <w:lvlText w:val="-"/>
      <w:lvlJc w:val="left"/>
      <w:pPr>
        <w:tabs>
          <w:tab w:val="num" w:pos="1080"/>
        </w:tabs>
        <w:ind w:left="890" w:hanging="17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D5"/>
    <w:rsid w:val="00707F7B"/>
    <w:rsid w:val="008C21D5"/>
    <w:rsid w:val="00B00104"/>
    <w:rsid w:val="00F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Beránek</dc:creator>
  <cp:lastModifiedBy>Vratislav Libánský</cp:lastModifiedBy>
  <cp:revision>2</cp:revision>
  <dcterms:created xsi:type="dcterms:W3CDTF">2025-10-13T09:56:00Z</dcterms:created>
  <dcterms:modified xsi:type="dcterms:W3CDTF">2025-10-13T09:56:00Z</dcterms:modified>
</cp:coreProperties>
</file>